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41CFE" w:rsidRDefault="00A3412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541CFE" w:rsidRDefault="00A34125">
      <w:pPr>
        <w:pStyle w:val="Heading2"/>
        <w:numPr>
          <w:ilvl w:val="1"/>
          <w:numId w:val="2"/>
        </w:numPr>
      </w:pPr>
      <w:bookmarkStart w:id="1" w:name="_heading=h.442khuw7fs9e" w:colFirst="0" w:colLast="0"/>
      <w:bookmarkEnd w:id="1"/>
      <w:r>
        <w:t>The Supplier shall take out and maintain, or procure the taking out and maintenance of the insurances as set out in the Annex to this Schedule, any additional insurances required under a Call-Off Contract (specified in the applicable Order Form) ("Addition</w:t>
      </w:r>
      <w:r>
        <w:t xml:space="preserve">al Insurances") and any other insurances as may be required by applicable Law (together the “Insurances”).  The Supplier shall ensure that each of the Insurances is effective no later than: </w:t>
      </w:r>
    </w:p>
    <w:p w14:paraId="00000004"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Framework Start Date in respect of those Insurances set out i</w:t>
      </w:r>
      <w:r>
        <w:rPr>
          <w:rFonts w:ascii="Arial" w:eastAsia="Arial" w:hAnsi="Arial"/>
          <w:color w:val="000000"/>
          <w:sz w:val="24"/>
          <w:szCs w:val="24"/>
        </w:rPr>
        <w:t xml:space="preserve">n the Annex to this Schedule and those required by applicable Law; and </w:t>
      </w:r>
    </w:p>
    <w:p w14:paraId="00000005"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541CFE" w:rsidRDefault="00A34125">
      <w:pPr>
        <w:pStyle w:val="Heading2"/>
        <w:numPr>
          <w:ilvl w:val="1"/>
          <w:numId w:val="2"/>
        </w:numPr>
        <w:ind w:left="900" w:hanging="540"/>
      </w:pPr>
      <w:bookmarkStart w:id="2" w:name="_heading=h.i4hj0nj52ise" w:colFirst="0" w:colLast="0"/>
      <w:bookmarkEnd w:id="2"/>
      <w:r>
        <w:t xml:space="preserve">The Insurances shall be: </w:t>
      </w:r>
    </w:p>
    <w:p w14:paraId="00000007"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(so far as is reasonably </w:t>
      </w:r>
      <w:r>
        <w:rPr>
          <w:rFonts w:ascii="Arial" w:eastAsia="Arial" w:hAnsi="Arial"/>
          <w:color w:val="000000"/>
          <w:sz w:val="24"/>
          <w:szCs w:val="24"/>
        </w:rPr>
        <w:t>practicable) on terms no less favourable than those generally available to a prudent contractor in respect of risks insured in the international insurance market from time to time;</w:t>
      </w:r>
    </w:p>
    <w:p w14:paraId="00000009"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and maintained with insurers of good financial standing and good </w:t>
      </w:r>
      <w:r>
        <w:rPr>
          <w:rFonts w:ascii="Arial" w:eastAsia="Arial" w:hAnsi="Arial"/>
          <w:color w:val="000000"/>
          <w:sz w:val="24"/>
          <w:szCs w:val="24"/>
        </w:rPr>
        <w:t>repute in the international insurance market; and</w:t>
      </w:r>
    </w:p>
    <w:p w14:paraId="0000000A" w14:textId="77777777" w:rsidR="00541CFE" w:rsidRDefault="00A3412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The Supplier shall ensure that the public and products liability policy contain an indemnity to principals clause under which the Relevant Authority</w:t>
      </w:r>
      <w:r>
        <w:rPr>
          <w:rFonts w:ascii="Arial" w:eastAsia="Arial" w:hAnsi="Arial"/>
          <w:color w:val="000000"/>
          <w:sz w:val="24"/>
          <w:szCs w:val="24"/>
        </w:rPr>
        <w:t xml:space="preserve">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w:t>
      </w:r>
      <w:r>
        <w:rPr>
          <w:rFonts w:ascii="Arial Bold" w:eastAsia="Arial Bold" w:hAnsi="Arial Bold" w:cs="Arial Bold"/>
          <w:b/>
          <w:color w:val="000000"/>
          <w:sz w:val="24"/>
          <w:szCs w:val="24"/>
        </w:rPr>
        <w:t>nage the insurance</w:t>
      </w:r>
    </w:p>
    <w:p w14:paraId="0000000D" w14:textId="77777777" w:rsidR="00541CFE" w:rsidRDefault="00A3412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Without limiting the other provisions of this Contract, the Supplier shall:</w:t>
      </w:r>
    </w:p>
    <w:p w14:paraId="0000000E" w14:textId="77777777" w:rsidR="00541CFE" w:rsidRDefault="00A3412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w:t>
      </w:r>
      <w:r>
        <w:rPr>
          <w:rFonts w:ascii="Arial" w:eastAsia="Arial" w:hAnsi="Arial"/>
          <w:color w:val="000000"/>
          <w:sz w:val="24"/>
          <w:szCs w:val="24"/>
        </w:rPr>
        <w:t>prudent contractor acting in accordance with Good Industry Practice, including the investigation and reports of relevant claims to insurers;</w:t>
      </w:r>
    </w:p>
    <w:p w14:paraId="0000000F" w14:textId="77777777" w:rsidR="00541CFE" w:rsidRDefault="00A3412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w:t>
      </w:r>
      <w:r>
        <w:rPr>
          <w:rFonts w:ascii="Arial" w:eastAsia="Arial" w:hAnsi="Arial"/>
          <w:color w:val="000000"/>
          <w:sz w:val="24"/>
          <w:szCs w:val="24"/>
        </w:rPr>
        <w:t xml:space="preserve"> or becomes aware; and</w:t>
      </w:r>
    </w:p>
    <w:p w14:paraId="00000010" w14:textId="77777777" w:rsidR="00541CFE" w:rsidRDefault="00A3412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w:t>
      </w:r>
      <w:r>
        <w:rPr>
          <w:rFonts w:ascii="Arial Bold" w:eastAsia="Arial Bold" w:hAnsi="Arial Bold" w:cs="Arial Bold"/>
          <w:b/>
          <w:color w:val="000000"/>
          <w:sz w:val="24"/>
          <w:szCs w:val="24"/>
        </w:rPr>
        <w:t>ppens if you aren’t insured</w:t>
      </w:r>
    </w:p>
    <w:p w14:paraId="00000012"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would entitle any insurer to refuse to pay any claim under any of </w:t>
      </w:r>
      <w:r>
        <w:rPr>
          <w:rFonts w:ascii="Arial" w:eastAsia="Arial" w:hAnsi="Arial"/>
          <w:color w:val="000000"/>
          <w:sz w:val="24"/>
          <w:szCs w:val="24"/>
        </w:rPr>
        <w:t>the Insurances.</w:t>
      </w:r>
    </w:p>
    <w:p w14:paraId="00000013"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w:t>
      </w:r>
      <w:r>
        <w:rPr>
          <w:rFonts w:ascii="Arial" w:eastAsia="Arial" w:hAnsi="Arial"/>
          <w:color w:val="000000"/>
          <w:sz w:val="24"/>
          <w:szCs w:val="24"/>
        </w:rPr>
        <w:t>nd recover the reasonable premium and other reasonable costs incurred in connection therewith as a debt due from the Supplier.</w:t>
      </w:r>
    </w:p>
    <w:p w14:paraId="00000014"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The Supplier shall upon the Start Date and within 15 Working Days after the renewal of eac</w:t>
      </w:r>
      <w:r>
        <w:rPr>
          <w:rFonts w:ascii="Arial" w:eastAsia="Arial" w:hAnsi="Arial"/>
          <w:color w:val="000000"/>
          <w:sz w:val="24"/>
          <w:szCs w:val="24"/>
        </w:rPr>
        <w:t>h of the Insurances, provide evidence, in a form satisfactory to the Relevant Authority, that the Insurances are in force and effect and meet in full the requirements of this Schedule.</w:t>
      </w:r>
    </w:p>
    <w:p w14:paraId="00000016"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bookmarkStart w:id="3" w:name="_heading=h.gjdgxs" w:colFirst="0" w:colLast="0"/>
      <w:bookmarkEnd w:id="3"/>
      <w:r>
        <w:rPr>
          <w:rFonts w:ascii="Arial" w:eastAsia="Arial" w:hAnsi="Arial"/>
          <w:color w:val="000000"/>
          <w:sz w:val="24"/>
          <w:szCs w:val="24"/>
        </w:rPr>
        <w:t xml:space="preserve">The Supplier shall </w:t>
      </w:r>
      <w:r>
        <w:rPr>
          <w:rFonts w:ascii="Arial" w:eastAsia="Arial" w:hAnsi="Arial"/>
          <w:color w:val="000000"/>
          <w:sz w:val="24"/>
          <w:szCs w:val="24"/>
        </w:rPr>
        <w:t>ensure that any Insurances which are stated to have a minimum limit "in the aggregate" are maintained at all times for the minimum limit of indemnity specified in this Contract and if any claims are made which do not relate to this Contract then the Suppli</w:t>
      </w:r>
      <w:r>
        <w:rPr>
          <w:rFonts w:ascii="Arial" w:eastAsia="Arial" w:hAnsi="Arial"/>
          <w:color w:val="000000"/>
          <w:sz w:val="24"/>
          <w:szCs w:val="24"/>
        </w:rPr>
        <w:t>er shall notify the Relevant Authority and provide details of its proposed solution for maintaining the minimum limit of indemnity.</w:t>
      </w:r>
    </w:p>
    <w:p w14:paraId="00000018"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 xml:space="preserve">The Supplier shall notify the Relevant Authority in writing at least five (5) Working Days prior to the </w:t>
      </w:r>
      <w:r>
        <w:rPr>
          <w:rFonts w:ascii="Arial" w:eastAsia="Arial" w:hAnsi="Arial"/>
          <w:color w:val="000000"/>
          <w:sz w:val="24"/>
          <w:szCs w:val="24"/>
        </w:rPr>
        <w:t>cancellation, suspension, termination or non-renewal of any of the Insurances.</w:t>
      </w:r>
    </w:p>
    <w:p w14:paraId="0000001A"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w:t>
      </w:r>
      <w:r>
        <w:rPr>
          <w:rFonts w:ascii="Arial" w:eastAsia="Arial" w:hAnsi="Arial"/>
          <w:color w:val="000000"/>
          <w:sz w:val="24"/>
          <w:szCs w:val="24"/>
        </w:rPr>
        <w:t xml:space="preserve"> claim as voided in whole or part.  The Supplier shall use all reasonable endeavours to notify the Relevant Authority (subject to third party confidentiality obligations) as soon as practicable when it becomes aware of any relevant fact, circumstance or ma</w:t>
      </w:r>
      <w:r>
        <w:rPr>
          <w:rFonts w:ascii="Arial" w:eastAsia="Arial" w:hAnsi="Arial"/>
          <w:color w:val="000000"/>
          <w:sz w:val="24"/>
          <w:szCs w:val="24"/>
        </w:rPr>
        <w:t>tter which has caused, or is reasonably likely to provide grounds to, the relevant insurer to give notice to cancel, rescind, suspend or void any insurance, or any cover or claim under any insurance in whole or in part.</w:t>
      </w:r>
    </w:p>
    <w:p w14:paraId="0000001B" w14:textId="77777777" w:rsidR="00541CFE" w:rsidRDefault="00A3412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 xml:space="preserve">The Supplier shall </w:t>
      </w:r>
      <w:r>
        <w:rPr>
          <w:rFonts w:ascii="Arial" w:eastAsia="Arial" w:hAnsi="Arial"/>
          <w:color w:val="000000"/>
          <w:sz w:val="24"/>
          <w:szCs w:val="24"/>
        </w:rPr>
        <w:t xml:space="preserve">promptly notify to insurers any matter arising from, or in relation to, the Deliverables, or each Contract for which it may be entitled to claim under any of the Insurances.  In the event that the Relevant Authority receives a claim relating to or arising </w:t>
      </w:r>
      <w:r>
        <w:rPr>
          <w:rFonts w:ascii="Arial" w:eastAsia="Arial" w:hAnsi="Arial"/>
          <w:color w:val="000000"/>
          <w:sz w:val="24"/>
          <w:szCs w:val="24"/>
        </w:rPr>
        <w:t>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lastRenderedPageBreak/>
        <w:t>Except where the Relevant Au</w:t>
      </w:r>
      <w:r>
        <w:rPr>
          <w:rFonts w:ascii="Arial" w:eastAsia="Arial" w:hAnsi="Arial"/>
          <w:color w:val="000000"/>
          <w:sz w:val="24"/>
          <w:szCs w:val="24"/>
        </w:rPr>
        <w:t>thority is the claimant party, the Supplier shall give the Relevant Authority notice within twenty (20) Working Days after any insurance claim in excess of 10% of the sum required to be insured pursuant to Paragraph 5.1 relating to or arising out of the pr</w:t>
      </w:r>
      <w:r>
        <w:rPr>
          <w:rFonts w:ascii="Arial" w:eastAsia="Arial" w:hAnsi="Arial"/>
          <w:color w:val="000000"/>
          <w:sz w:val="24"/>
          <w:szCs w:val="24"/>
        </w:rPr>
        <w:t xml:space="preserve">ovision of the Deliverables or this Contract on any of the Insurances or which, but for the application of the applicable policy excess, would be made on any of the Insurances and (if required by the Relevant Authority) full details of the incident giving </w:t>
      </w:r>
      <w:r>
        <w:rPr>
          <w:rFonts w:ascii="Arial" w:eastAsia="Arial" w:hAnsi="Arial"/>
          <w:color w:val="000000"/>
          <w:sz w:val="24"/>
          <w:szCs w:val="24"/>
        </w:rPr>
        <w:t>rise to the claim.</w:t>
      </w:r>
    </w:p>
    <w:p w14:paraId="0000001E" w14:textId="77777777" w:rsidR="00541CFE" w:rsidRDefault="00A3412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541CFE" w:rsidRDefault="00A34125">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rPr>
      </w:pPr>
      <w:r>
        <w:rPr>
          <w:rFonts w:ascii="Arial" w:eastAsia="Arial" w:hAnsi="Arial"/>
          <w:color w:val="000000"/>
          <w:sz w:val="24"/>
          <w:szCs w:val="24"/>
        </w:rPr>
        <w:t xml:space="preserve">Where any Insurance is subject to an excess or deductible below which the indemnity from insurers is excluded, the </w:t>
      </w:r>
      <w:r>
        <w:rPr>
          <w:rFonts w:ascii="Arial" w:eastAsia="Arial" w:hAnsi="Arial"/>
          <w:color w:val="000000"/>
          <w:sz w:val="24"/>
          <w:szCs w:val="24"/>
        </w:rPr>
        <w:t>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541CFE" w:rsidRDefault="00A34125">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w:t>
      </w:r>
      <w:r>
        <w:rPr>
          <w:rFonts w:ascii="Arial" w:eastAsia="Arial" w:hAnsi="Arial"/>
          <w:b/>
          <w:color w:val="000000"/>
          <w:sz w:val="24"/>
          <w:szCs w:val="24"/>
        </w:rPr>
        <w:t>X: REQUIRED INSURANCES</w:t>
      </w:r>
    </w:p>
    <w:p w14:paraId="00000021" w14:textId="77777777" w:rsidR="00541CFE" w:rsidRDefault="00A34125">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4" w:name="_heading=h.30j0zll" w:colFirst="0" w:colLast="0"/>
      <w:bookmarkEnd w:id="4"/>
      <w:r>
        <w:rPr>
          <w:rFonts w:ascii="Arial" w:eastAsia="Arial" w:hAnsi="Arial"/>
          <w:color w:val="000000"/>
          <w:sz w:val="24"/>
          <w:szCs w:val="24"/>
        </w:rPr>
        <w:t>The Supplier shall hold the following [standard] insurance cover from the Framework Start Date in accordance with this Schedule:</w:t>
      </w:r>
    </w:p>
    <w:p w14:paraId="00000022" w14:textId="77777777" w:rsidR="00541CFE" w:rsidRDefault="00A34125">
      <w:pPr>
        <w:pStyle w:val="Heading2"/>
        <w:ind w:left="720" w:firstLine="0"/>
        <w:jc w:val="both"/>
      </w:pPr>
      <w:bookmarkStart w:id="5" w:name="_heading=h.ltbeg4esgeao" w:colFirst="0" w:colLast="0"/>
      <w:bookmarkEnd w:id="5"/>
      <w:r>
        <w:t xml:space="preserve">1.1 </w:t>
      </w:r>
      <w:r>
        <w:tab/>
        <w:t>Professional indemnity insurance with cover (for a single event or a series of related events and i</w:t>
      </w:r>
      <w:r>
        <w:t xml:space="preserve">n the aggregate) of not less than one million pounds (£1,000,000) – all Lots. </w:t>
      </w:r>
    </w:p>
    <w:p w14:paraId="00000023" w14:textId="77777777" w:rsidR="00541CFE" w:rsidRDefault="00A34125">
      <w:pPr>
        <w:pStyle w:val="Heading2"/>
        <w:ind w:left="720" w:firstLine="0"/>
        <w:jc w:val="both"/>
      </w:pPr>
      <w:bookmarkStart w:id="6" w:name="_heading=h.owkzs66lvjm3" w:colFirst="0" w:colLast="0"/>
      <w:bookmarkEnd w:id="6"/>
      <w:r>
        <w:t xml:space="preserve">1.2 </w:t>
      </w:r>
      <w:r>
        <w:tab/>
        <w:t>Public liability insurance with cover (for a single event or a series of related events and in the aggregate) of not less than one million pounds (£1,000,000) – all Lots.</w:t>
      </w:r>
    </w:p>
    <w:p w14:paraId="00000024" w14:textId="77777777" w:rsidR="00541CFE" w:rsidRDefault="00A34125">
      <w:pPr>
        <w:pStyle w:val="Heading2"/>
        <w:ind w:left="720" w:firstLine="0"/>
        <w:jc w:val="both"/>
      </w:pPr>
      <w:bookmarkStart w:id="7" w:name="_heading=h.nh70ifdm09b4" w:colFirst="0" w:colLast="0"/>
      <w:bookmarkEnd w:id="7"/>
      <w:r>
        <w:t xml:space="preserve">1.3 </w:t>
      </w:r>
      <w:r>
        <w:tab/>
        <w:t>Employers’ liability insurance with cover (for a single event or a series of related events and in the aggregate) of not less than five million pounds (£5,000,000) – all Lots.</w:t>
      </w:r>
    </w:p>
    <w:p w14:paraId="00000025" w14:textId="77777777" w:rsidR="00541CFE" w:rsidRDefault="00A34125">
      <w:pPr>
        <w:tabs>
          <w:tab w:val="left" w:pos="1134"/>
        </w:tabs>
        <w:ind w:left="720"/>
        <w:rPr>
          <w:rFonts w:ascii="Arial" w:eastAsia="Arial" w:hAnsi="Arial"/>
          <w:sz w:val="24"/>
          <w:szCs w:val="24"/>
        </w:rPr>
      </w:pPr>
      <w:r>
        <w:rPr>
          <w:rFonts w:ascii="Arial" w:eastAsia="Arial" w:hAnsi="Arial"/>
          <w:sz w:val="24"/>
          <w:szCs w:val="24"/>
        </w:rPr>
        <w:t xml:space="preserve">1.4 Product liability insurance with cover (for a single event or a series </w:t>
      </w:r>
      <w:r>
        <w:rPr>
          <w:rFonts w:ascii="Arial" w:eastAsia="Arial" w:hAnsi="Arial"/>
          <w:sz w:val="24"/>
          <w:szCs w:val="24"/>
        </w:rPr>
        <w:t>of related events and in the aggregate) of not less than one million pounds (£1,000,000) – all Lots.</w:t>
      </w:r>
    </w:p>
    <w:p w14:paraId="00000026" w14:textId="77777777" w:rsidR="00541CFE" w:rsidRDefault="00A34125">
      <w:pPr>
        <w:pStyle w:val="Heading2"/>
        <w:numPr>
          <w:ilvl w:val="1"/>
          <w:numId w:val="2"/>
        </w:numPr>
        <w:ind w:left="900" w:hanging="540"/>
        <w:rPr>
          <w:color w:val="FFFFFF"/>
        </w:rPr>
      </w:pPr>
      <w:bookmarkStart w:id="8" w:name="_heading=h.gz8mojzbd9nh" w:colFirst="0" w:colLast="0"/>
      <w:bookmarkEnd w:id="8"/>
      <w:r>
        <w:rPr>
          <w:color w:val="FFFFFF"/>
        </w:rPr>
        <w:t xml:space="preserve">1.4 </w:t>
      </w:r>
      <w:r>
        <w:rPr>
          <w:color w:val="FFFFFF"/>
        </w:rPr>
        <w:tab/>
        <w:t>product liability insurance with cover (for a single event or a series of related events and in the aggregate) of not less than one million pounds (£1</w:t>
      </w:r>
      <w:r>
        <w:rPr>
          <w:color w:val="FFFFFF"/>
        </w:rPr>
        <w:t>,000,000) – all Lots</w:t>
      </w:r>
    </w:p>
    <w:p w14:paraId="00000027" w14:textId="77777777" w:rsidR="00541CFE" w:rsidRDefault="00541CFE">
      <w:pPr>
        <w:sectPr w:rsidR="00541CF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8" w14:textId="77777777" w:rsidR="00541CFE" w:rsidRDefault="00541CFE"/>
    <w:sectPr w:rsidR="00541CF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543FA" w14:textId="77777777" w:rsidR="00A34125" w:rsidRDefault="00A34125">
      <w:pPr>
        <w:spacing w:after="0"/>
      </w:pPr>
      <w:r>
        <w:separator/>
      </w:r>
    </w:p>
  </w:endnote>
  <w:endnote w:type="continuationSeparator" w:id="0">
    <w:p w14:paraId="74B2D0FC" w14:textId="77777777" w:rsidR="00A34125" w:rsidRDefault="00A34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541CFE" w:rsidRDefault="00A34125">
    <w:pPr>
      <w:tabs>
        <w:tab w:val="center" w:pos="4513"/>
        <w:tab w:val="right" w:pos="9026"/>
      </w:tabs>
      <w:spacing w:after="0"/>
      <w:rPr>
        <w:rFonts w:ascii="Arial" w:eastAsia="Arial" w:hAnsi="Arial"/>
        <w:sz w:val="20"/>
        <w:szCs w:val="20"/>
      </w:rPr>
    </w:pPr>
    <w:r>
      <w:rPr>
        <w:rFonts w:ascii="Arial" w:eastAsia="Arial" w:hAnsi="Arial"/>
        <w:sz w:val="20"/>
        <w:szCs w:val="20"/>
      </w:rPr>
      <w:t>Framework Ref: RM6098</w:t>
    </w:r>
    <w:r>
      <w:rPr>
        <w:rFonts w:ascii="Arial" w:eastAsia="Arial" w:hAnsi="Arial"/>
        <w:sz w:val="20"/>
        <w:szCs w:val="20"/>
      </w:rPr>
      <w:tab/>
      <w:t xml:space="preserve">                                           </w:t>
    </w:r>
  </w:p>
  <w:p w14:paraId="00000033" w14:textId="5668AF3F" w:rsidR="00541CFE" w:rsidRDefault="00A3412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E54D29">
      <w:rPr>
        <w:rFonts w:ascii="Arial" w:eastAsia="Arial" w:hAnsi="Arial"/>
        <w:noProof/>
        <w:color w:val="000000"/>
        <w:sz w:val="20"/>
        <w:szCs w:val="20"/>
      </w:rPr>
      <w:t>1</w:t>
    </w:r>
    <w:r>
      <w:rPr>
        <w:rFonts w:ascii="Arial" w:eastAsia="Arial" w:hAnsi="Arial"/>
        <w:color w:val="000000"/>
        <w:sz w:val="20"/>
        <w:szCs w:val="20"/>
      </w:rPr>
      <w:fldChar w:fldCharType="end"/>
    </w:r>
  </w:p>
  <w:p w14:paraId="00000034" w14:textId="77777777" w:rsidR="00541CFE" w:rsidRDefault="00A34125">
    <w:pPr>
      <w:spacing w:after="0"/>
    </w:pPr>
    <w:r>
      <w:rPr>
        <w:rFonts w:ascii="Arial" w:eastAsia="Arial" w:hAnsi="Arial"/>
        <w:sz w:val="20"/>
        <w:szCs w:val="20"/>
      </w:rPr>
      <w:t>Mo</w:t>
    </w:r>
    <w:r>
      <w:rPr>
        <w:rFonts w:ascii="Arial" w:eastAsia="Arial" w:hAnsi="Arial"/>
        <w:sz w:val="20"/>
        <w:szCs w:val="20"/>
      </w:rPr>
      <w:t>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E" w14:textId="77777777" w:rsidR="00541CFE" w:rsidRDefault="00541CFE">
    <w:pPr>
      <w:tabs>
        <w:tab w:val="center" w:pos="4513"/>
        <w:tab w:val="right" w:pos="9026"/>
      </w:tabs>
      <w:spacing w:after="0"/>
      <w:rPr>
        <w:rFonts w:ascii="Arial" w:eastAsia="Arial" w:hAnsi="Arial"/>
        <w:color w:val="BFBFBF"/>
        <w:sz w:val="20"/>
        <w:szCs w:val="20"/>
      </w:rPr>
    </w:pPr>
  </w:p>
  <w:p w14:paraId="0000002F" w14:textId="77777777" w:rsidR="00541CFE" w:rsidRDefault="00A34125">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0" w14:textId="77777777" w:rsidR="00541CFE" w:rsidRDefault="00A34125">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1" w14:textId="77777777" w:rsidR="00541CFE" w:rsidRDefault="00A34125">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EDBD2" w14:textId="77777777" w:rsidR="00A34125" w:rsidRDefault="00A34125">
      <w:pPr>
        <w:spacing w:after="0"/>
      </w:pPr>
      <w:r>
        <w:separator/>
      </w:r>
    </w:p>
  </w:footnote>
  <w:footnote w:type="continuationSeparator" w:id="0">
    <w:p w14:paraId="20F5C406" w14:textId="77777777" w:rsidR="00A34125" w:rsidRDefault="00A34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541CFE" w:rsidRDefault="00A3412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77777777" w:rsidR="00541CFE" w:rsidRDefault="00A3412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9" w14:textId="77777777" w:rsidR="00541CFE" w:rsidRDefault="00A34125">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A" w14:textId="77777777" w:rsidR="00541CFE" w:rsidRDefault="00A3412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B" w14:textId="77777777" w:rsidR="00541CFE" w:rsidRDefault="00541CF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73B0"/>
    <w:multiLevelType w:val="multilevel"/>
    <w:tmpl w:val="FBC2ED66"/>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BC62DB"/>
    <w:multiLevelType w:val="multilevel"/>
    <w:tmpl w:val="63BA315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6985B65"/>
    <w:multiLevelType w:val="multilevel"/>
    <w:tmpl w:val="E382A77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CFE"/>
    <w:rsid w:val="00296105"/>
    <w:rsid w:val="003A5935"/>
    <w:rsid w:val="00541CFE"/>
    <w:rsid w:val="00A34125"/>
    <w:rsid w:val="00AC5A28"/>
    <w:rsid w:val="00E54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D45DD-B696-4A8C-9D05-47731087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tabs>
        <w:tab w:val="left" w:pos="1134"/>
      </w:tabs>
      <w:spacing w:before="120" w:after="120"/>
      <w:ind w:left="900" w:hanging="540"/>
      <w:jc w:val="left"/>
      <w:outlineLvl w:val="1"/>
    </w:pPr>
    <w:rPr>
      <w:rFonts w:ascii="Arial" w:eastAsia="Arial" w:hAnsi="Arial"/>
      <w:sz w:val="24"/>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mW35b0997GU6uk7NzyquC1Zl8w==">AMUW2mWJaD1rg9K+84L7HTLXdyNPUVYe8mj9JQ2o6vHgRQ/wLvCUU2OJOV1Gz1tWbneZm4kI35qCvAE6+2nInjUwtGAAKbCTuJkZO19nxDEwlEVQ/i+BDrytpxofvv9tFJxZunGjKniDfdHASjizXN0r5TlekwU7Wqu31WA+ro7OieoB//bMkxEy8p31MzWFXwZRy3T56JlIxZ2dplFQm5s8uZ5limp3ryv2bTe2UOMphOgSPdkoJ7+FyWhFoyak7hPA3XPAqqa8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Williams</dc:creator>
  <cp:lastModifiedBy>Nick Williams</cp:lastModifiedBy>
  <cp:revision>2</cp:revision>
  <dcterms:created xsi:type="dcterms:W3CDTF">2025-10-10T12:09:00Z</dcterms:created>
  <dcterms:modified xsi:type="dcterms:W3CDTF">2025-10-10T12:09:00Z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2025-10-09T23:10:18Z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a021a87d-1678-4710-8b8b-10463ac9fe3b</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